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33117B2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E1421">
        <w:rPr>
          <w:rFonts w:ascii="Calibri" w:hAnsi="Calibri"/>
          <w:color w:val="00558C"/>
          <w:sz w:val="24"/>
          <w:szCs w:val="24"/>
        </w:rPr>
        <w:t>PAP</w:t>
      </w:r>
      <w:r w:rsidR="00896459">
        <w:rPr>
          <w:rFonts w:ascii="Calibri" w:hAnsi="Calibri"/>
          <w:color w:val="00558C"/>
          <w:sz w:val="24"/>
          <w:szCs w:val="24"/>
        </w:rPr>
        <w:t>5</w:t>
      </w:r>
      <w:r w:rsidR="00F64E5C">
        <w:rPr>
          <w:rFonts w:ascii="Calibri" w:hAnsi="Calibri"/>
          <w:color w:val="00558C"/>
          <w:sz w:val="24"/>
          <w:szCs w:val="24"/>
        </w:rPr>
        <w:t>6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F64E5C">
        <w:rPr>
          <w:rFonts w:ascii="Calibri" w:hAnsi="Calibri"/>
          <w:color w:val="00558C"/>
          <w:sz w:val="24"/>
          <w:szCs w:val="24"/>
        </w:rPr>
        <w:t>3.</w:t>
      </w:r>
      <w:r w:rsidR="00C91039">
        <w:rPr>
          <w:rFonts w:ascii="Calibri" w:hAnsi="Calibri"/>
          <w:color w:val="00558C"/>
          <w:sz w:val="24"/>
          <w:szCs w:val="24"/>
        </w:rPr>
        <w:t>2</w:t>
      </w:r>
      <w:r w:rsidR="00F64E5C">
        <w:rPr>
          <w:rFonts w:ascii="Calibri" w:hAnsi="Calibri"/>
          <w:color w:val="00558C"/>
          <w:sz w:val="24"/>
          <w:szCs w:val="24"/>
        </w:rPr>
        <w:t>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392D1E74" w:rsidR="0080294B" w:rsidRPr="00B0084A" w:rsidRDefault="00BC526F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1039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23F38CDB" w:rsidR="0080294B" w:rsidRPr="00B0084A" w:rsidRDefault="00BC526F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039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08BCB2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37E08">
        <w:rPr>
          <w:rFonts w:ascii="Calibri" w:hAnsi="Calibri"/>
        </w:rPr>
        <w:t>3.</w:t>
      </w:r>
      <w:r w:rsidR="00C91039">
        <w:rPr>
          <w:rFonts w:ascii="Calibri" w:hAnsi="Calibri"/>
        </w:rPr>
        <w:t>2</w:t>
      </w:r>
    </w:p>
    <w:p w14:paraId="01FC5420" w14:textId="3FF1E81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37E08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0C73AB1" w:rsidR="00A446C9" w:rsidRPr="00605E43" w:rsidRDefault="00C91039" w:rsidP="0035243F">
      <w:pPr>
        <w:pStyle w:val="Title"/>
      </w:pPr>
      <w:r w:rsidRPr="00C91039">
        <w:t xml:space="preserve">IALAs involvement in Green Corridors </w:t>
      </w:r>
    </w:p>
    <w:p w14:paraId="2D829213" w14:textId="180174D2" w:rsidR="00BD4E6F" w:rsidRPr="00A37E08" w:rsidRDefault="00A446C9" w:rsidP="00B56BDF">
      <w:pPr>
        <w:pStyle w:val="Heading1"/>
      </w:pPr>
      <w:r w:rsidRPr="00B661C7">
        <w:t>Summary</w:t>
      </w:r>
    </w:p>
    <w:p w14:paraId="3FBF026C" w14:textId="51FB6134" w:rsidR="00EE3AF1" w:rsidRPr="00EE3AF1" w:rsidRDefault="00EE3AF1" w:rsidP="00EE3AF1">
      <w:pPr>
        <w:pStyle w:val="BodyText"/>
        <w:rPr>
          <w:rFonts w:ascii="Calibri" w:hAnsi="Calibri"/>
          <w:lang w:eastAsia="de-DE"/>
        </w:rPr>
      </w:pPr>
      <w:r w:rsidRPr="00EE3AF1">
        <w:rPr>
          <w:rFonts w:ascii="Calibri" w:hAnsi="Calibri"/>
          <w:lang w:eastAsia="de-DE"/>
        </w:rPr>
        <w:t xml:space="preserve">This paper explores the concept of Maritime Green Corridors, an initiative aimed at reducing greenhouse gas emissions and promoting sustainable practices in maritime transport. It provides a background on the core elements, global and national initiatives and the role of these corridors in decarbonizing the shipping industry. </w:t>
      </w:r>
    </w:p>
    <w:p w14:paraId="5432CFB6" w14:textId="4E89577A" w:rsidR="00B56BDF" w:rsidRPr="007A395D" w:rsidRDefault="00EE3AF1" w:rsidP="00B22EEA">
      <w:pPr>
        <w:pStyle w:val="BodyText"/>
        <w:rPr>
          <w:rFonts w:ascii="Calibri" w:hAnsi="Calibri"/>
        </w:rPr>
      </w:pPr>
      <w:r w:rsidRPr="00EE3AF1">
        <w:rPr>
          <w:rFonts w:ascii="Calibri" w:hAnsi="Calibri"/>
          <w:lang w:eastAsia="de-DE"/>
        </w:rPr>
        <w:t xml:space="preserve">The discussion </w:t>
      </w:r>
      <w:r w:rsidR="0026150F">
        <w:rPr>
          <w:rFonts w:ascii="Calibri" w:hAnsi="Calibri"/>
          <w:lang w:eastAsia="de-DE"/>
        </w:rPr>
        <w:t>below</w:t>
      </w:r>
      <w:r w:rsidRPr="00EE3AF1">
        <w:rPr>
          <w:rFonts w:ascii="Calibri" w:hAnsi="Calibri"/>
          <w:lang w:eastAsia="de-DE"/>
        </w:rPr>
        <w:t xml:space="preserve"> examines the potential role of </w:t>
      </w:r>
      <w:r w:rsidR="0026150F">
        <w:rPr>
          <w:rFonts w:ascii="Calibri" w:hAnsi="Calibri"/>
          <w:lang w:eastAsia="de-DE"/>
        </w:rPr>
        <w:t>IALA</w:t>
      </w:r>
      <w:r w:rsidRPr="00EE3AF1">
        <w:rPr>
          <w:rFonts w:ascii="Calibri" w:hAnsi="Calibri"/>
          <w:lang w:eastAsia="de-DE"/>
        </w:rPr>
        <w:t xml:space="preserve"> </w:t>
      </w:r>
      <w:r w:rsidR="0026150F">
        <w:rPr>
          <w:rFonts w:ascii="Calibri" w:hAnsi="Calibri"/>
          <w:lang w:eastAsia="de-DE"/>
        </w:rPr>
        <w:t>with</w:t>
      </w:r>
      <w:r w:rsidRPr="00EE3AF1">
        <w:rPr>
          <w:rFonts w:ascii="Calibri" w:hAnsi="Calibri"/>
          <w:lang w:eastAsia="de-DE"/>
        </w:rPr>
        <w:t xml:space="preserve"> these corridors. It considers whether involvement represents a natural extension of IALA’s ongoing work in harmonization, digitalization and support for </w:t>
      </w:r>
      <w:r w:rsidR="0026150F">
        <w:rPr>
          <w:rFonts w:ascii="Calibri" w:hAnsi="Calibri"/>
          <w:lang w:eastAsia="de-DE"/>
        </w:rPr>
        <w:t>MASS</w:t>
      </w:r>
      <w:r w:rsidRPr="00EE3AF1">
        <w:rPr>
          <w:rFonts w:ascii="Calibri" w:hAnsi="Calibri"/>
          <w:lang w:eastAsia="de-DE"/>
        </w:rPr>
        <w:t xml:space="preserve"> or if it necessitates a distinct, focused initiative. </w:t>
      </w:r>
    </w:p>
    <w:p w14:paraId="4EE9519E" w14:textId="0408C84A" w:rsidR="00412908" w:rsidRDefault="00412908" w:rsidP="00605E43">
      <w:pPr>
        <w:pStyle w:val="Heading1"/>
      </w:pPr>
      <w:r>
        <w:t>Background</w:t>
      </w:r>
    </w:p>
    <w:p w14:paraId="42BABDF5" w14:textId="02E152BA" w:rsidR="00706C83" w:rsidRPr="00706C83" w:rsidRDefault="00706C83" w:rsidP="00706C83">
      <w:pPr>
        <w:rPr>
          <w:sz w:val="22"/>
        </w:rPr>
      </w:pPr>
      <w:r w:rsidRPr="00706C83">
        <w:rPr>
          <w:sz w:val="22"/>
        </w:rPr>
        <w:t>Green Corridors represent a</w:t>
      </w:r>
      <w:r w:rsidR="00CB0558">
        <w:rPr>
          <w:sz w:val="22"/>
        </w:rPr>
        <w:t>n</w:t>
      </w:r>
      <w:r w:rsidRPr="00706C83">
        <w:rPr>
          <w:sz w:val="22"/>
        </w:rPr>
        <w:t xml:space="preserve"> initiative aimed at reducing greenhouse gas emissions and fostering sustainable practices in </w:t>
      </w:r>
      <w:r w:rsidR="00CB0558">
        <w:rPr>
          <w:sz w:val="22"/>
        </w:rPr>
        <w:t>certain geographical areas</w:t>
      </w:r>
      <w:r w:rsidRPr="00706C83">
        <w:rPr>
          <w:sz w:val="22"/>
        </w:rPr>
        <w:t xml:space="preserve">. These corridors are shipping routes designed to integrate low or zero-emission technologies, promote the use of alternative fuels and facilitate collaborative efforts among stakeholders. As of December 2023, there </w:t>
      </w:r>
      <w:r w:rsidR="000C5047">
        <w:rPr>
          <w:sz w:val="22"/>
        </w:rPr>
        <w:t>were</w:t>
      </w:r>
      <w:r w:rsidRPr="00706C83">
        <w:rPr>
          <w:sz w:val="22"/>
        </w:rPr>
        <w:t xml:space="preserve"> 44 active green shipping corridors worldwide, reflecting a doubling in number </w:t>
      </w:r>
      <w:r w:rsidR="000C5047">
        <w:rPr>
          <w:sz w:val="22"/>
        </w:rPr>
        <w:t xml:space="preserve">in the year </w:t>
      </w:r>
      <w:r w:rsidR="006437A8">
        <w:rPr>
          <w:sz w:val="22"/>
        </w:rPr>
        <w:t>preceding</w:t>
      </w:r>
      <w:r w:rsidRPr="00706C83">
        <w:rPr>
          <w:sz w:val="22"/>
        </w:rPr>
        <w:t xml:space="preserve"> due to increasing governmental support, industry collaboration, and infrastructure investment.</w:t>
      </w:r>
    </w:p>
    <w:p w14:paraId="1AEFB994" w14:textId="17365427" w:rsidR="00706C83" w:rsidRPr="000C5047" w:rsidRDefault="00706C83" w:rsidP="00706C83">
      <w:pPr>
        <w:pStyle w:val="Heading2"/>
      </w:pPr>
      <w:r w:rsidRPr="00706C83">
        <w:t xml:space="preserve">Core </w:t>
      </w:r>
      <w:r w:rsidR="000C5047">
        <w:t>elements</w:t>
      </w:r>
      <w:r w:rsidRPr="00706C83">
        <w:t xml:space="preserve"> of Green Corridors</w:t>
      </w:r>
    </w:p>
    <w:p w14:paraId="79AF14BD" w14:textId="5C0B1836" w:rsidR="00706C83" w:rsidRPr="00706C83" w:rsidRDefault="00706C83" w:rsidP="00706C83">
      <w:pPr>
        <w:rPr>
          <w:sz w:val="22"/>
        </w:rPr>
      </w:pPr>
      <w:r w:rsidRPr="00706C83">
        <w:rPr>
          <w:sz w:val="22"/>
        </w:rPr>
        <w:t xml:space="preserve">Maritime Green Corridors </w:t>
      </w:r>
      <w:r w:rsidR="000C5047">
        <w:rPr>
          <w:sz w:val="22"/>
        </w:rPr>
        <w:t>use</w:t>
      </w:r>
      <w:r w:rsidRPr="00706C83">
        <w:rPr>
          <w:sz w:val="22"/>
        </w:rPr>
        <w:t xml:space="preserve"> several strategies to achieve decarbonization:</w:t>
      </w:r>
    </w:p>
    <w:p w14:paraId="4CBB9CC8" w14:textId="77777777" w:rsidR="00706C83" w:rsidRPr="00706C83" w:rsidRDefault="00706C83" w:rsidP="00706C83">
      <w:pPr>
        <w:rPr>
          <w:sz w:val="22"/>
        </w:rPr>
      </w:pPr>
    </w:p>
    <w:p w14:paraId="547A83E4" w14:textId="680F4F74" w:rsidR="00706C83" w:rsidRPr="000C5047" w:rsidRDefault="000C5047" w:rsidP="00941CC9">
      <w:pPr>
        <w:pStyle w:val="ListParagraph"/>
        <w:numPr>
          <w:ilvl w:val="0"/>
          <w:numId w:val="27"/>
        </w:numPr>
        <w:rPr>
          <w:sz w:val="22"/>
        </w:rPr>
      </w:pPr>
      <w:r>
        <w:rPr>
          <w:sz w:val="22"/>
        </w:rPr>
        <w:t xml:space="preserve">Low or zero </w:t>
      </w:r>
      <w:r w:rsidR="000A18F1">
        <w:rPr>
          <w:sz w:val="22"/>
        </w:rPr>
        <w:t>emission technologies</w:t>
      </w:r>
      <w:r w:rsidR="00706C83" w:rsidRPr="000C5047">
        <w:rPr>
          <w:sz w:val="22"/>
        </w:rPr>
        <w:t xml:space="preserve"> include hydrogen, ammonia and biofuels, along with innovative technologies such as carbon capture systems and hybrid propulsion mechanisms.</w:t>
      </w:r>
    </w:p>
    <w:p w14:paraId="7B22967E" w14:textId="77777777" w:rsidR="00706C83" w:rsidRPr="00706C83" w:rsidRDefault="00706C83" w:rsidP="00706C83">
      <w:pPr>
        <w:rPr>
          <w:sz w:val="22"/>
        </w:rPr>
      </w:pPr>
    </w:p>
    <w:p w14:paraId="78F469B7" w14:textId="4FF2DD47" w:rsidR="00706C83" w:rsidRPr="000C5047" w:rsidRDefault="00706C83" w:rsidP="00941CC9">
      <w:pPr>
        <w:pStyle w:val="ListParagraph"/>
        <w:numPr>
          <w:ilvl w:val="0"/>
          <w:numId w:val="27"/>
        </w:numPr>
        <w:rPr>
          <w:sz w:val="22"/>
        </w:rPr>
      </w:pPr>
      <w:r w:rsidRPr="000C5047">
        <w:rPr>
          <w:sz w:val="22"/>
        </w:rPr>
        <w:t xml:space="preserve">Ports along these corridors </w:t>
      </w:r>
      <w:r w:rsidR="009E1DE8">
        <w:rPr>
          <w:sz w:val="22"/>
        </w:rPr>
        <w:t>aim</w:t>
      </w:r>
      <w:r w:rsidRPr="000C5047">
        <w:rPr>
          <w:sz w:val="22"/>
        </w:rPr>
        <w:t xml:space="preserve"> to handle alternative fuels and provide operational support for low-emission vessels.</w:t>
      </w:r>
    </w:p>
    <w:p w14:paraId="53887AC1" w14:textId="77777777" w:rsidR="00706C83" w:rsidRPr="00706C83" w:rsidRDefault="00706C83" w:rsidP="00706C83">
      <w:pPr>
        <w:rPr>
          <w:sz w:val="22"/>
        </w:rPr>
      </w:pPr>
    </w:p>
    <w:p w14:paraId="35DA1FE5" w14:textId="72943F59" w:rsidR="00706C83" w:rsidRPr="000C5047" w:rsidRDefault="00706C83" w:rsidP="00941CC9">
      <w:pPr>
        <w:pStyle w:val="ListParagraph"/>
        <w:numPr>
          <w:ilvl w:val="0"/>
          <w:numId w:val="27"/>
        </w:numPr>
        <w:rPr>
          <w:sz w:val="22"/>
        </w:rPr>
      </w:pPr>
      <w:r w:rsidRPr="000C5047">
        <w:rPr>
          <w:sz w:val="22"/>
        </w:rPr>
        <w:t xml:space="preserve">International bodies such as </w:t>
      </w:r>
      <w:r w:rsidR="009E1DE8">
        <w:rPr>
          <w:sz w:val="22"/>
        </w:rPr>
        <w:t>IMO</w:t>
      </w:r>
      <w:r w:rsidRPr="000C5047">
        <w:rPr>
          <w:sz w:val="22"/>
        </w:rPr>
        <w:t xml:space="preserve"> play a critical role in establishing harmonized regulations and incentives. </w:t>
      </w:r>
    </w:p>
    <w:p w14:paraId="0C066F9B" w14:textId="77777777" w:rsidR="00706C83" w:rsidRPr="00706C83" w:rsidRDefault="00706C83" w:rsidP="00706C83">
      <w:pPr>
        <w:rPr>
          <w:sz w:val="22"/>
        </w:rPr>
      </w:pPr>
    </w:p>
    <w:p w14:paraId="51DB88DC" w14:textId="79B1B0EA" w:rsidR="00706C83" w:rsidRPr="006437A8" w:rsidRDefault="00F9731A" w:rsidP="00941CC9">
      <w:pPr>
        <w:pStyle w:val="ListParagraph"/>
        <w:numPr>
          <w:ilvl w:val="0"/>
          <w:numId w:val="27"/>
        </w:numPr>
        <w:rPr>
          <w:sz w:val="22"/>
        </w:rPr>
      </w:pPr>
      <w:r>
        <w:rPr>
          <w:sz w:val="22"/>
        </w:rPr>
        <w:lastRenderedPageBreak/>
        <w:t>I</w:t>
      </w:r>
      <w:r w:rsidR="00706C83" w:rsidRPr="000C5047">
        <w:rPr>
          <w:sz w:val="22"/>
        </w:rPr>
        <w:t>mplementation</w:t>
      </w:r>
      <w:r>
        <w:rPr>
          <w:sz w:val="22"/>
        </w:rPr>
        <w:t xml:space="preserve"> may</w:t>
      </w:r>
      <w:r w:rsidR="00706C83" w:rsidRPr="000C5047">
        <w:rPr>
          <w:sz w:val="22"/>
        </w:rPr>
        <w:t xml:space="preserve"> require partnerships </w:t>
      </w:r>
      <w:r>
        <w:rPr>
          <w:sz w:val="22"/>
        </w:rPr>
        <w:t>between</w:t>
      </w:r>
      <w:r w:rsidR="00706C83" w:rsidRPr="000C5047">
        <w:rPr>
          <w:sz w:val="22"/>
        </w:rPr>
        <w:t xml:space="preserve"> governments, maritime organizations, ports, fuel suppliers, technology providers, and operators. </w:t>
      </w:r>
    </w:p>
    <w:p w14:paraId="1810C5B9" w14:textId="18F7F71E" w:rsidR="00706C83" w:rsidRPr="006821B9" w:rsidRDefault="00706C83" w:rsidP="00706C83">
      <w:pPr>
        <w:pStyle w:val="Heading2"/>
      </w:pPr>
      <w:r w:rsidRPr="00706C83">
        <w:t>Global and National Initiatives</w:t>
      </w:r>
    </w:p>
    <w:p w14:paraId="567E0360" w14:textId="03C19E44" w:rsidR="00706C83" w:rsidRPr="00706C83" w:rsidRDefault="00706C83" w:rsidP="00706C83">
      <w:pPr>
        <w:rPr>
          <w:sz w:val="22"/>
        </w:rPr>
      </w:pPr>
      <w:r w:rsidRPr="00706C83">
        <w:rPr>
          <w:sz w:val="22"/>
        </w:rPr>
        <w:t xml:space="preserve">Efforts to establish Green Corridors are supported by commitments at both international and national levels. For </w:t>
      </w:r>
      <w:r w:rsidR="00730CCF">
        <w:rPr>
          <w:sz w:val="22"/>
        </w:rPr>
        <w:t>example</w:t>
      </w:r>
      <w:r w:rsidRPr="00706C83">
        <w:rPr>
          <w:sz w:val="22"/>
        </w:rPr>
        <w:t>:</w:t>
      </w:r>
    </w:p>
    <w:p w14:paraId="3B546A6B" w14:textId="77777777" w:rsidR="00706C83" w:rsidRPr="00706C83" w:rsidRDefault="00706C83" w:rsidP="00706C83">
      <w:pPr>
        <w:rPr>
          <w:sz w:val="22"/>
        </w:rPr>
      </w:pPr>
    </w:p>
    <w:p w14:paraId="30835DF8" w14:textId="545AAF7E" w:rsidR="00706C83" w:rsidRPr="00706C83" w:rsidRDefault="00706C83" w:rsidP="00706C83">
      <w:pPr>
        <w:rPr>
          <w:sz w:val="22"/>
        </w:rPr>
      </w:pPr>
      <w:r w:rsidRPr="00706C83">
        <w:rPr>
          <w:sz w:val="22"/>
        </w:rPr>
        <w:t xml:space="preserve">During COP26, over 20 nations committed to developing </w:t>
      </w:r>
      <w:r w:rsidR="00730CCF">
        <w:rPr>
          <w:sz w:val="22"/>
        </w:rPr>
        <w:t>a number of</w:t>
      </w:r>
      <w:r w:rsidRPr="00706C83">
        <w:rPr>
          <w:sz w:val="22"/>
        </w:rPr>
        <w:t xml:space="preserve"> green corridors by 2025. Notable examples include the joint initiative by the ports of Los Angeles and Shanghai to establish a low-carbon container shipping route. </w:t>
      </w:r>
    </w:p>
    <w:p w14:paraId="3AB8B76E" w14:textId="77777777" w:rsidR="00706C83" w:rsidRPr="00706C83" w:rsidRDefault="00706C83" w:rsidP="00706C83">
      <w:pPr>
        <w:rPr>
          <w:sz w:val="22"/>
        </w:rPr>
      </w:pPr>
    </w:p>
    <w:p w14:paraId="509A30E8" w14:textId="04EFC0C2" w:rsidR="00706C83" w:rsidRPr="00706C83" w:rsidRDefault="00706C83" w:rsidP="00706C83">
      <w:pPr>
        <w:rPr>
          <w:sz w:val="22"/>
        </w:rPr>
      </w:pPr>
      <w:r w:rsidRPr="00706C83">
        <w:rPr>
          <w:sz w:val="22"/>
        </w:rPr>
        <w:t xml:space="preserve">The UK government has allocated £1.5 million through the International Green Corridor Fund and launched initiatives such as the Clean Maritime Research Hub, led by Durham University, which received £7.4 million for net-zero technology development. Additionally, the Port of Dover was designated as the UK’s first high-volume Green Shipping Corridor, focusing on zero-emission shipping </w:t>
      </w:r>
      <w:r w:rsidR="0069663F">
        <w:rPr>
          <w:sz w:val="22"/>
        </w:rPr>
        <w:t>in it’s area</w:t>
      </w:r>
      <w:r w:rsidR="006821B9">
        <w:rPr>
          <w:sz w:val="22"/>
        </w:rPr>
        <w:t xml:space="preserve"> of operation.</w:t>
      </w:r>
    </w:p>
    <w:p w14:paraId="7AB653EA" w14:textId="1904F454" w:rsidR="00706C83" w:rsidRPr="006821B9" w:rsidRDefault="00706C83" w:rsidP="00706C83">
      <w:pPr>
        <w:pStyle w:val="Heading2"/>
      </w:pPr>
      <w:r w:rsidRPr="00706C83">
        <w:t>The Role of Green Corridors in Decarbonization</w:t>
      </w:r>
    </w:p>
    <w:p w14:paraId="7E48CF54" w14:textId="5651CFFA" w:rsidR="00706C83" w:rsidRPr="00706C83" w:rsidRDefault="00706C83" w:rsidP="00706C83">
      <w:pPr>
        <w:rPr>
          <w:sz w:val="22"/>
        </w:rPr>
      </w:pPr>
      <w:r w:rsidRPr="00706C83">
        <w:rPr>
          <w:sz w:val="22"/>
        </w:rPr>
        <w:t xml:space="preserve">The establishment of Green Corridors contributes to decarbonization through several </w:t>
      </w:r>
      <w:r w:rsidR="006437A8">
        <w:rPr>
          <w:sz w:val="22"/>
        </w:rPr>
        <w:t>initiatives</w:t>
      </w:r>
      <w:r w:rsidRPr="00706C83">
        <w:rPr>
          <w:sz w:val="22"/>
        </w:rPr>
        <w:t>, including routing operations, just-in-time arrivals, terminal efficiency, energy management and autonomous navigation systems. These measures have the potential to address 38% or more of the sector’s emissions, as highlighted by recent research (ATOS, The maritime shipping sector – facing the challenges of decarbonization and digitalization).</w:t>
      </w:r>
    </w:p>
    <w:p w14:paraId="176518CD" w14:textId="21EA1715" w:rsidR="00706C83" w:rsidRPr="006437A8" w:rsidRDefault="00706C83" w:rsidP="00706C83">
      <w:pPr>
        <w:pStyle w:val="Heading2"/>
      </w:pPr>
      <w:r w:rsidRPr="00706C83">
        <w:t>Current Progress and Challenges</w:t>
      </w:r>
    </w:p>
    <w:p w14:paraId="34AE717F" w14:textId="3BBBFB9F" w:rsidR="00DB3562" w:rsidRPr="006437A8" w:rsidRDefault="00706C83" w:rsidP="006437A8">
      <w:pPr>
        <w:rPr>
          <w:sz w:val="22"/>
        </w:rPr>
      </w:pPr>
      <w:r w:rsidRPr="00706C83">
        <w:rPr>
          <w:sz w:val="22"/>
        </w:rPr>
        <w:t>Green corridors are advancing through various phases of development. Of the 44 corridors identified</w:t>
      </w:r>
      <w:r w:rsidR="009A4C45">
        <w:rPr>
          <w:sz w:val="22"/>
        </w:rPr>
        <w:t xml:space="preserve"> in 2023</w:t>
      </w:r>
      <w:r w:rsidRPr="00706C83">
        <w:rPr>
          <w:sz w:val="22"/>
        </w:rPr>
        <w:t xml:space="preserve">, 23 </w:t>
      </w:r>
      <w:r w:rsidR="009A4C45">
        <w:rPr>
          <w:sz w:val="22"/>
        </w:rPr>
        <w:t>were</w:t>
      </w:r>
      <w:r w:rsidRPr="00706C83">
        <w:rPr>
          <w:sz w:val="22"/>
        </w:rPr>
        <w:t xml:space="preserve"> in the initiation stage, 17 </w:t>
      </w:r>
      <w:r w:rsidR="009A4C45">
        <w:rPr>
          <w:sz w:val="22"/>
        </w:rPr>
        <w:t>were</w:t>
      </w:r>
      <w:r w:rsidRPr="00706C83">
        <w:rPr>
          <w:sz w:val="22"/>
        </w:rPr>
        <w:t xml:space="preserve"> in the planning stag</w:t>
      </w:r>
      <w:r w:rsidR="009A4C45">
        <w:rPr>
          <w:sz w:val="22"/>
        </w:rPr>
        <w:t>e</w:t>
      </w:r>
      <w:r w:rsidRPr="00706C83">
        <w:rPr>
          <w:sz w:val="22"/>
        </w:rPr>
        <w:t xml:space="preserve"> and a few </w:t>
      </w:r>
      <w:r w:rsidR="009A4C45">
        <w:rPr>
          <w:sz w:val="22"/>
        </w:rPr>
        <w:t>had</w:t>
      </w:r>
      <w:r w:rsidRPr="00706C83">
        <w:rPr>
          <w:sz w:val="22"/>
        </w:rPr>
        <w:t xml:space="preserve"> entered the execution phase</w:t>
      </w:r>
      <w:r w:rsidR="009A4C45">
        <w:rPr>
          <w:sz w:val="22"/>
        </w:rPr>
        <w:t xml:space="preserve"> at that time</w:t>
      </w:r>
      <w:r w:rsidRPr="00706C83">
        <w:rPr>
          <w:sz w:val="22"/>
        </w:rPr>
        <w:t xml:space="preserve">. </w:t>
      </w:r>
    </w:p>
    <w:p w14:paraId="041E9135" w14:textId="604B96E9" w:rsidR="00A446C9" w:rsidRDefault="00A446C9" w:rsidP="00605E43">
      <w:pPr>
        <w:pStyle w:val="Heading1"/>
      </w:pPr>
      <w:r w:rsidRPr="007A395D">
        <w:t>Discussion</w:t>
      </w:r>
    </w:p>
    <w:p w14:paraId="580FC256" w14:textId="723BED76" w:rsidR="008A5BC8" w:rsidRDefault="008A5BC8" w:rsidP="008A5BC8">
      <w:pPr>
        <w:pStyle w:val="BodyText"/>
      </w:pPr>
      <w:r>
        <w:t>IALA’s current work in harmonization, digitalization of waterways and</w:t>
      </w:r>
      <w:r w:rsidR="003401DF">
        <w:t xml:space="preserve"> MASS</w:t>
      </w:r>
      <w:r>
        <w:t xml:space="preserve"> provides a strong </w:t>
      </w:r>
      <w:r w:rsidR="003401DF">
        <w:t>link in our current work</w:t>
      </w:r>
      <w:r>
        <w:t xml:space="preserve"> </w:t>
      </w:r>
      <w:r w:rsidR="00B41081">
        <w:t>that also relates to</w:t>
      </w:r>
      <w:r>
        <w:t xml:space="preserve"> Green Corridors. However, the question remains whether this engagement represents an extension of </w:t>
      </w:r>
      <w:r w:rsidR="00B41081">
        <w:t>our</w:t>
      </w:r>
      <w:r>
        <w:t xml:space="preserve"> ongoing activities or a distinct area requiring dedicated focus.</w:t>
      </w:r>
    </w:p>
    <w:p w14:paraId="49111DCF" w14:textId="30A728F4" w:rsidR="008A5BC8" w:rsidRDefault="008A5BC8" w:rsidP="008D2C08">
      <w:pPr>
        <w:pStyle w:val="Heading2"/>
      </w:pPr>
      <w:r>
        <w:t>Collaboration Opportunities</w:t>
      </w:r>
    </w:p>
    <w:p w14:paraId="30B17D2B" w14:textId="77777777" w:rsidR="008A5BC8" w:rsidRDefault="008A5BC8" w:rsidP="008A5BC8">
      <w:pPr>
        <w:pStyle w:val="BodyText"/>
      </w:pPr>
      <w:r>
        <w:t>IALA’s participation in Green Corridors could involve:</w:t>
      </w:r>
    </w:p>
    <w:p w14:paraId="3D3A6CFA" w14:textId="1338672A" w:rsidR="008A5BC8" w:rsidRDefault="008A5BC8" w:rsidP="00941CC9">
      <w:pPr>
        <w:pStyle w:val="BodyText"/>
        <w:numPr>
          <w:ilvl w:val="0"/>
          <w:numId w:val="28"/>
        </w:numPr>
      </w:pPr>
      <w:r>
        <w:t xml:space="preserve">Working alongside the IMO to align regulations and standards for </w:t>
      </w:r>
      <w:r w:rsidR="00CC0CD8">
        <w:t xml:space="preserve">AtoN in </w:t>
      </w:r>
      <w:r>
        <w:t>Green Corridors</w:t>
      </w:r>
      <w:r w:rsidR="00CC0CD8">
        <w:t>.</w:t>
      </w:r>
    </w:p>
    <w:p w14:paraId="3B7251E1" w14:textId="47FACD31" w:rsidR="008A5BC8" w:rsidRDefault="00CC0CD8" w:rsidP="00941CC9">
      <w:pPr>
        <w:pStyle w:val="BodyText"/>
        <w:numPr>
          <w:ilvl w:val="0"/>
          <w:numId w:val="28"/>
        </w:numPr>
      </w:pPr>
      <w:r>
        <w:t>Possible p</w:t>
      </w:r>
      <w:r w:rsidR="008A5BC8">
        <w:t>artner</w:t>
      </w:r>
      <w:r>
        <w:t>ships</w:t>
      </w:r>
      <w:r w:rsidR="008A5BC8">
        <w:t xml:space="preserve"> with port authorities, universities and </w:t>
      </w:r>
      <w:r>
        <w:t>industrial members</w:t>
      </w:r>
      <w:r w:rsidR="008A5BC8">
        <w:t xml:space="preserve"> to develop and promote </w:t>
      </w:r>
      <w:r>
        <w:t>‘</w:t>
      </w:r>
      <w:r w:rsidR="008A5BC8">
        <w:t>green</w:t>
      </w:r>
      <w:r>
        <w:t>’</w:t>
      </w:r>
      <w:r w:rsidR="008A5BC8">
        <w:t xml:space="preserve"> </w:t>
      </w:r>
      <w:r>
        <w:t>AtoN</w:t>
      </w:r>
      <w:r w:rsidR="009F6490">
        <w:t>s, such as r</w:t>
      </w:r>
      <w:r w:rsidR="008A5BC8">
        <w:t>esearch into sustainable materials and smarter monitoring capabilities could complement broader environmental goals.</w:t>
      </w:r>
    </w:p>
    <w:p w14:paraId="65DD488A" w14:textId="05149C2C" w:rsidR="008A5BC8" w:rsidRDefault="008A5BC8" w:rsidP="00941CC9">
      <w:pPr>
        <w:pStyle w:val="BodyText"/>
        <w:numPr>
          <w:ilvl w:val="0"/>
          <w:numId w:val="28"/>
        </w:numPr>
      </w:pPr>
      <w:r>
        <w:t>Continuing to refine standards for environmentally-friendly AtoNs, focusing on materials, energy consumption and emissions monitoring, to support the operational needs of Green Corridors.</w:t>
      </w:r>
    </w:p>
    <w:p w14:paraId="04914FA1" w14:textId="43E4FD07" w:rsidR="008A5BC8" w:rsidRDefault="008A5BC8" w:rsidP="008D2C08">
      <w:pPr>
        <w:pStyle w:val="Heading2"/>
      </w:pPr>
      <w:r>
        <w:t>Technical Contributions</w:t>
      </w:r>
    </w:p>
    <w:p w14:paraId="6161B289" w14:textId="6AAE45A6" w:rsidR="001A048C" w:rsidRDefault="008A5BC8" w:rsidP="007E1218">
      <w:pPr>
        <w:pStyle w:val="BodyText"/>
      </w:pPr>
      <w:r>
        <w:t xml:space="preserve">IALA could </w:t>
      </w:r>
      <w:r w:rsidR="009F6490">
        <w:t>lead</w:t>
      </w:r>
      <w:r>
        <w:t xml:space="preserve"> several technical initiatives, including:</w:t>
      </w:r>
    </w:p>
    <w:p w14:paraId="0732D164" w14:textId="32987277" w:rsidR="007E1218" w:rsidRDefault="001A048C" w:rsidP="00941CC9">
      <w:pPr>
        <w:pStyle w:val="BodyText"/>
        <w:numPr>
          <w:ilvl w:val="0"/>
          <w:numId w:val="29"/>
        </w:numPr>
      </w:pPr>
      <w:r>
        <w:t xml:space="preserve">Taking this into consideration </w:t>
      </w:r>
      <w:r w:rsidR="007E1218">
        <w:t>during</w:t>
      </w:r>
      <w:r>
        <w:t xml:space="preserve"> the Sustaina</w:t>
      </w:r>
      <w:r w:rsidR="007E1218">
        <w:t>bility Workshop.</w:t>
      </w:r>
    </w:p>
    <w:p w14:paraId="68738564" w14:textId="6CD01E99" w:rsidR="008A5BC8" w:rsidRDefault="008A5BC8" w:rsidP="00941CC9">
      <w:pPr>
        <w:pStyle w:val="BodyText"/>
        <w:numPr>
          <w:ilvl w:val="0"/>
          <w:numId w:val="29"/>
        </w:numPr>
      </w:pPr>
      <w:r>
        <w:lastRenderedPageBreak/>
        <w:t>Advancing the creation of digital models</w:t>
      </w:r>
      <w:r w:rsidR="009F6490">
        <w:t xml:space="preserve"> and</w:t>
      </w:r>
      <w:r>
        <w:t xml:space="preserve"> digital twins of waterways to optimize vessel navigation and traffic management within Green Corridors.</w:t>
      </w:r>
    </w:p>
    <w:p w14:paraId="1ED25789" w14:textId="715EA647" w:rsidR="008A5BC8" w:rsidRDefault="008A5BC8" w:rsidP="00941CC9">
      <w:pPr>
        <w:pStyle w:val="BodyText"/>
        <w:numPr>
          <w:ilvl w:val="0"/>
          <w:numId w:val="29"/>
        </w:numPr>
      </w:pPr>
      <w:r>
        <w:t>Developing AtoNs equipped with sensors for emissions, air, and water quality monitoring, as well as capabilities for transmitting real-time data to facilitate eco-friendly route planning.</w:t>
      </w:r>
    </w:p>
    <w:p w14:paraId="4BC4BB20" w14:textId="43770887" w:rsidR="008A5BC8" w:rsidRDefault="00D64457" w:rsidP="00941CC9">
      <w:pPr>
        <w:pStyle w:val="BodyText"/>
        <w:numPr>
          <w:ilvl w:val="0"/>
          <w:numId w:val="29"/>
        </w:numPr>
      </w:pPr>
      <w:r>
        <w:t>Look into VTS</w:t>
      </w:r>
      <w:r w:rsidR="008A5BC8">
        <w:t xml:space="preserve"> </w:t>
      </w:r>
      <w:r>
        <w:t xml:space="preserve">operations </w:t>
      </w:r>
      <w:r w:rsidR="008A5BC8">
        <w:t xml:space="preserve">to </w:t>
      </w:r>
      <w:r>
        <w:t xml:space="preserve">consider possible roles </w:t>
      </w:r>
      <w:r w:rsidR="008D2C08">
        <w:t>with</w:t>
      </w:r>
      <w:r w:rsidR="008A5BC8">
        <w:t xml:space="preserve"> optimiz</w:t>
      </w:r>
      <w:r w:rsidR="008D2C08">
        <w:t>ing</w:t>
      </w:r>
      <w:r w:rsidR="008A5BC8">
        <w:t xml:space="preserve"> fuel-efficient speeds and dynamically eco-friendly routes based on environmental and traffic data.</w:t>
      </w:r>
    </w:p>
    <w:p w14:paraId="5248CB59" w14:textId="39DC62E2" w:rsidR="008A5BC8" w:rsidRDefault="008A5BC8" w:rsidP="008A5BC8">
      <w:pPr>
        <w:pStyle w:val="Heading2"/>
      </w:pPr>
      <w:r>
        <w:t>Strategic Considerations</w:t>
      </w:r>
    </w:p>
    <w:p w14:paraId="4DADE6A1" w14:textId="5032930E" w:rsidR="008A5BC8" w:rsidRDefault="008A5BC8" w:rsidP="008A5BC8">
      <w:pPr>
        <w:pStyle w:val="BodyText"/>
      </w:pPr>
      <w:r>
        <w:t>IALA’s participation in Green Corridors could enhance its reputation as a leader in sustainability and innovation. As an intergovernmental organization, IALA’s involvement may also affirm its commitment</w:t>
      </w:r>
      <w:r w:rsidR="0043354B">
        <w:t xml:space="preserve"> the UN sustainability goals</w:t>
      </w:r>
      <w:r>
        <w:t>.</w:t>
      </w:r>
    </w:p>
    <w:p w14:paraId="77A3C088" w14:textId="77777777" w:rsidR="001A048C" w:rsidRDefault="0043354B" w:rsidP="008A5BC8">
      <w:pPr>
        <w:pStyle w:val="BodyText"/>
      </w:pPr>
      <w:r>
        <w:t xml:space="preserve">However, </w:t>
      </w:r>
      <w:r w:rsidR="001A048C">
        <w:t>many</w:t>
      </w:r>
      <w:r w:rsidR="008A5BC8">
        <w:t xml:space="preserve"> elements of Green Corridors align with IALA’s existing activities</w:t>
      </w:r>
      <w:r w:rsidR="001A048C">
        <w:t>, therefore we may want to consider that this is part of normal business and there is no value in active participation</w:t>
      </w:r>
      <w:r w:rsidR="008A5BC8">
        <w:t xml:space="preserve">. </w:t>
      </w:r>
    </w:p>
    <w:p w14:paraId="6F71AAE2" w14:textId="394BD305" w:rsidR="008A5BC8" w:rsidRDefault="001A048C" w:rsidP="008A5BC8">
      <w:pPr>
        <w:pStyle w:val="BodyText"/>
      </w:pPr>
      <w:r>
        <w:t>There could possibly be an argument to consult members on this matter, f</w:t>
      </w:r>
      <w:r w:rsidR="008A5BC8">
        <w:t>or example,</w:t>
      </w:r>
      <w:r>
        <w:t xml:space="preserve"> by</w:t>
      </w:r>
      <w:r w:rsidR="008A5BC8">
        <w:t xml:space="preserve"> hosting a seminar </w:t>
      </w:r>
      <w:r w:rsidR="008F72F0">
        <w:t>to</w:t>
      </w:r>
      <w:r w:rsidR="008A5BC8">
        <w:t xml:space="preserve"> formalize IALA’s</w:t>
      </w:r>
      <w:r>
        <w:t xml:space="preserve"> outlook on the matter,</w:t>
      </w:r>
      <w:r w:rsidR="008A5BC8">
        <w:t xml:space="preserve"> position and contributions</w:t>
      </w:r>
      <w:r w:rsidR="008F72F0">
        <w:t xml:space="preserve"> in a similar way to the work conducted on MASS</w:t>
      </w:r>
      <w:r w:rsidR="008A5BC8">
        <w:t>.</w:t>
      </w:r>
    </w:p>
    <w:p w14:paraId="49C95F6C" w14:textId="1DED1826" w:rsidR="00204AED" w:rsidRPr="00E83EB7" w:rsidRDefault="008A5BC8" w:rsidP="00E83EB7">
      <w:pPr>
        <w:pStyle w:val="BodyText"/>
      </w:pPr>
      <w:r>
        <w:t xml:space="preserve">Given the </w:t>
      </w:r>
      <w:r w:rsidR="00691FEC">
        <w:t>growing visibility</w:t>
      </w:r>
      <w:r>
        <w:t xml:space="preserve"> of Green Corridors within the maritime industry, IALA’s involvement may be expected. Proactively contributing to this area could align with stakeholder demands and reinforce IALA’s role in advancing safety and sustainability.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5945AA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A37E08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to:</w:t>
      </w:r>
    </w:p>
    <w:p w14:paraId="41A1E375" w14:textId="671A21C7" w:rsidR="00F25BF4" w:rsidRDefault="00A5111B" w:rsidP="00941CC9">
      <w:pPr>
        <w:pStyle w:val="List1"/>
        <w:numPr>
          <w:ilvl w:val="0"/>
          <w:numId w:val="26"/>
        </w:numPr>
      </w:pPr>
      <w:r>
        <w:t xml:space="preserve">Note the contents </w:t>
      </w:r>
      <w:r w:rsidR="00645354">
        <w:t>of</w:t>
      </w:r>
      <w:r>
        <w:t xml:space="preserve"> this </w:t>
      </w:r>
      <w:r w:rsidR="00645354">
        <w:t>input paper.</w:t>
      </w:r>
    </w:p>
    <w:p w14:paraId="10DC5D6B" w14:textId="3BA00F65" w:rsidR="00C91039" w:rsidRPr="00C91039" w:rsidRDefault="00C91039" w:rsidP="00941CC9">
      <w:pPr>
        <w:pStyle w:val="List1"/>
        <w:numPr>
          <w:ilvl w:val="0"/>
          <w:numId w:val="26"/>
        </w:numPr>
        <w:sectPr w:rsidR="00C91039" w:rsidRPr="00C91039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  <w:r>
        <w:t>Discuss what po</w:t>
      </w:r>
      <w:r w:rsidR="00E83EB7">
        <w:t>ssible involvement IALA may have with green corridors</w:t>
      </w:r>
      <w:r w:rsidR="00BC526F">
        <w:t>.</w:t>
      </w:r>
    </w:p>
    <w:p w14:paraId="16AE6650" w14:textId="2A2233EC" w:rsidR="004D1D85" w:rsidRPr="007A395D" w:rsidRDefault="004D1D85" w:rsidP="00645354">
      <w:pPr>
        <w:pStyle w:val="AppendixHead3"/>
        <w:numPr>
          <w:ilvl w:val="0"/>
          <w:numId w:val="0"/>
        </w:num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AB7BC" w14:textId="77777777" w:rsidR="00AB524B" w:rsidRDefault="00AB524B" w:rsidP="00362CD9">
      <w:r>
        <w:separator/>
      </w:r>
    </w:p>
  </w:endnote>
  <w:endnote w:type="continuationSeparator" w:id="0">
    <w:p w14:paraId="261AB443" w14:textId="77777777" w:rsidR="00AB524B" w:rsidRDefault="00AB524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77EBFE13" w:rsidR="004533B7" w:rsidRPr="00C907DF" w:rsidRDefault="006813E6" w:rsidP="004533B7">
    <w:pPr>
      <w:pStyle w:val="Footerportrait"/>
    </w:pPr>
    <w:fldSimple w:instr=" STYLEREF  Title  \* MERGEFORMAT ">
      <w:r w:rsidR="00BC526F" w:rsidRPr="00BC526F">
        <w:rPr>
          <w:b w:val="0"/>
          <w:bCs/>
        </w:rPr>
        <w:t>IALAs involvement in Green Corridors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72D097CC" w:rsidR="00637047" w:rsidRPr="00C907DF" w:rsidRDefault="0026150F" w:rsidP="00637047">
    <w:pPr>
      <w:pStyle w:val="Footerportrait"/>
    </w:pPr>
    <w:fldSimple w:instr=" STYLEREF  Title  \* MERGEFORMAT ">
      <w:r w:rsidR="00BC526F" w:rsidRPr="00BC526F">
        <w:rPr>
          <w:b w:val="0"/>
          <w:bCs/>
        </w:rPr>
        <w:t>IALAs involvement in Green Corridors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919A8" w14:textId="77777777" w:rsidR="00AB524B" w:rsidRDefault="00AB524B" w:rsidP="00362CD9">
      <w:r>
        <w:separator/>
      </w:r>
    </w:p>
  </w:footnote>
  <w:footnote w:type="continuationSeparator" w:id="0">
    <w:p w14:paraId="2C80E779" w14:textId="77777777" w:rsidR="00AB524B" w:rsidRDefault="00AB524B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0C7FEE"/>
    <w:multiLevelType w:val="hybridMultilevel"/>
    <w:tmpl w:val="55109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0655AFC"/>
    <w:multiLevelType w:val="hybridMultilevel"/>
    <w:tmpl w:val="86D64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5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03F94"/>
    <w:multiLevelType w:val="hybridMultilevel"/>
    <w:tmpl w:val="9E3A9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0"/>
  </w:num>
  <w:num w:numId="2" w16cid:durableId="1016469588">
    <w:abstractNumId w:val="16"/>
  </w:num>
  <w:num w:numId="3" w16cid:durableId="2045129801">
    <w:abstractNumId w:val="1"/>
  </w:num>
  <w:num w:numId="4" w16cid:durableId="499538883">
    <w:abstractNumId w:val="23"/>
  </w:num>
  <w:num w:numId="5" w16cid:durableId="1037655079">
    <w:abstractNumId w:val="14"/>
  </w:num>
  <w:num w:numId="6" w16cid:durableId="559285992">
    <w:abstractNumId w:val="8"/>
  </w:num>
  <w:num w:numId="7" w16cid:durableId="1836145497">
    <w:abstractNumId w:val="21"/>
  </w:num>
  <w:num w:numId="8" w16cid:durableId="1566060577">
    <w:abstractNumId w:val="6"/>
  </w:num>
  <w:num w:numId="9" w16cid:durableId="844705127">
    <w:abstractNumId w:val="18"/>
  </w:num>
  <w:num w:numId="10" w16cid:durableId="406733196">
    <w:abstractNumId w:val="15"/>
  </w:num>
  <w:num w:numId="11" w16cid:durableId="1605648278">
    <w:abstractNumId w:val="17"/>
  </w:num>
  <w:num w:numId="12" w16cid:durableId="496655810">
    <w:abstractNumId w:val="26"/>
  </w:num>
  <w:num w:numId="13" w16cid:durableId="1718967224">
    <w:abstractNumId w:val="3"/>
  </w:num>
  <w:num w:numId="14" w16cid:durableId="1709991696">
    <w:abstractNumId w:val="10"/>
  </w:num>
  <w:num w:numId="15" w16cid:durableId="1044283049">
    <w:abstractNumId w:val="4"/>
  </w:num>
  <w:num w:numId="16" w16cid:durableId="1967082030">
    <w:abstractNumId w:val="2"/>
  </w:num>
  <w:num w:numId="17" w16cid:durableId="2104648613">
    <w:abstractNumId w:val="7"/>
  </w:num>
  <w:num w:numId="18" w16cid:durableId="348339373">
    <w:abstractNumId w:val="22"/>
  </w:num>
  <w:num w:numId="19" w16cid:durableId="1828092372">
    <w:abstractNumId w:val="25"/>
  </w:num>
  <w:num w:numId="20" w16cid:durableId="46882591">
    <w:abstractNumId w:val="5"/>
  </w:num>
  <w:num w:numId="21" w16cid:durableId="1019815527">
    <w:abstractNumId w:val="19"/>
  </w:num>
  <w:num w:numId="22" w16cid:durableId="117071472">
    <w:abstractNumId w:val="13"/>
  </w:num>
  <w:num w:numId="23" w16cid:durableId="569999294">
    <w:abstractNumId w:val="24"/>
  </w:num>
  <w:num w:numId="24" w16cid:durableId="1177111293">
    <w:abstractNumId w:val="12"/>
  </w:num>
  <w:num w:numId="25" w16cid:durableId="635990278">
    <w:abstractNumId w:val="11"/>
  </w:num>
  <w:num w:numId="26" w16cid:durableId="14560955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7715336">
    <w:abstractNumId w:val="20"/>
  </w:num>
  <w:num w:numId="28" w16cid:durableId="2093353563">
    <w:abstractNumId w:val="27"/>
  </w:num>
  <w:num w:numId="29" w16cid:durableId="1068839362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61CDC"/>
    <w:rsid w:val="0006669F"/>
    <w:rsid w:val="00070C13"/>
    <w:rsid w:val="000715C9"/>
    <w:rsid w:val="00084F33"/>
    <w:rsid w:val="000A18F1"/>
    <w:rsid w:val="000A77A7"/>
    <w:rsid w:val="000B1707"/>
    <w:rsid w:val="000C1B3E"/>
    <w:rsid w:val="000C349E"/>
    <w:rsid w:val="000C5047"/>
    <w:rsid w:val="000E00F9"/>
    <w:rsid w:val="00110203"/>
    <w:rsid w:val="00110AE7"/>
    <w:rsid w:val="00122A21"/>
    <w:rsid w:val="001241C8"/>
    <w:rsid w:val="00177F4D"/>
    <w:rsid w:val="00180DDA"/>
    <w:rsid w:val="001A048C"/>
    <w:rsid w:val="001B2A2D"/>
    <w:rsid w:val="001B737D"/>
    <w:rsid w:val="001C44A3"/>
    <w:rsid w:val="001C77BB"/>
    <w:rsid w:val="001E0248"/>
    <w:rsid w:val="001E0E15"/>
    <w:rsid w:val="001F11EA"/>
    <w:rsid w:val="001F528A"/>
    <w:rsid w:val="001F704E"/>
    <w:rsid w:val="00201722"/>
    <w:rsid w:val="00204AED"/>
    <w:rsid w:val="002125B0"/>
    <w:rsid w:val="00221E08"/>
    <w:rsid w:val="00237D7C"/>
    <w:rsid w:val="00243228"/>
    <w:rsid w:val="00251483"/>
    <w:rsid w:val="00255642"/>
    <w:rsid w:val="00255CAA"/>
    <w:rsid w:val="0025741F"/>
    <w:rsid w:val="0026150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040D1"/>
    <w:rsid w:val="003351C4"/>
    <w:rsid w:val="003401DF"/>
    <w:rsid w:val="00350C9F"/>
    <w:rsid w:val="0035243F"/>
    <w:rsid w:val="00356CD0"/>
    <w:rsid w:val="00362CD9"/>
    <w:rsid w:val="003761CA"/>
    <w:rsid w:val="0038049E"/>
    <w:rsid w:val="00380DAF"/>
    <w:rsid w:val="00392942"/>
    <w:rsid w:val="003972CE"/>
    <w:rsid w:val="003A29BF"/>
    <w:rsid w:val="003B0463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12908"/>
    <w:rsid w:val="00420A38"/>
    <w:rsid w:val="00426DB3"/>
    <w:rsid w:val="00431B19"/>
    <w:rsid w:val="0043354B"/>
    <w:rsid w:val="004533B7"/>
    <w:rsid w:val="004661AD"/>
    <w:rsid w:val="004A3F3F"/>
    <w:rsid w:val="004D1D85"/>
    <w:rsid w:val="004D3C3A"/>
    <w:rsid w:val="004E1CD1"/>
    <w:rsid w:val="004F2F41"/>
    <w:rsid w:val="004F7616"/>
    <w:rsid w:val="0050690E"/>
    <w:rsid w:val="005107EB"/>
    <w:rsid w:val="00521345"/>
    <w:rsid w:val="0052412A"/>
    <w:rsid w:val="00526DF0"/>
    <w:rsid w:val="00545CC4"/>
    <w:rsid w:val="00551FFF"/>
    <w:rsid w:val="005607A2"/>
    <w:rsid w:val="0057198B"/>
    <w:rsid w:val="00573CFE"/>
    <w:rsid w:val="005969F2"/>
    <w:rsid w:val="00597FAE"/>
    <w:rsid w:val="005A3032"/>
    <w:rsid w:val="005B32A3"/>
    <w:rsid w:val="005C0D44"/>
    <w:rsid w:val="005C566C"/>
    <w:rsid w:val="005C7E69"/>
    <w:rsid w:val="005D763D"/>
    <w:rsid w:val="005E262D"/>
    <w:rsid w:val="005F23D3"/>
    <w:rsid w:val="005F6C94"/>
    <w:rsid w:val="005F7E20"/>
    <w:rsid w:val="00600912"/>
    <w:rsid w:val="00605E43"/>
    <w:rsid w:val="006153BB"/>
    <w:rsid w:val="00635ADD"/>
    <w:rsid w:val="00637047"/>
    <w:rsid w:val="006437A8"/>
    <w:rsid w:val="00645354"/>
    <w:rsid w:val="006652C3"/>
    <w:rsid w:val="00672D0E"/>
    <w:rsid w:val="006813E6"/>
    <w:rsid w:val="006821B9"/>
    <w:rsid w:val="00691FD0"/>
    <w:rsid w:val="00691FEC"/>
    <w:rsid w:val="00692148"/>
    <w:rsid w:val="00695AE6"/>
    <w:rsid w:val="0069663F"/>
    <w:rsid w:val="006A1A1E"/>
    <w:rsid w:val="006C5948"/>
    <w:rsid w:val="006E2121"/>
    <w:rsid w:val="006F2A74"/>
    <w:rsid w:val="00706C83"/>
    <w:rsid w:val="007118F5"/>
    <w:rsid w:val="00712AA4"/>
    <w:rsid w:val="007146C4"/>
    <w:rsid w:val="00721AA1"/>
    <w:rsid w:val="00724B67"/>
    <w:rsid w:val="00730CCF"/>
    <w:rsid w:val="007547F8"/>
    <w:rsid w:val="00765622"/>
    <w:rsid w:val="00767B2C"/>
    <w:rsid w:val="00770B6C"/>
    <w:rsid w:val="00774730"/>
    <w:rsid w:val="007820E2"/>
    <w:rsid w:val="00783FEA"/>
    <w:rsid w:val="007926DC"/>
    <w:rsid w:val="007A395D"/>
    <w:rsid w:val="007A3E45"/>
    <w:rsid w:val="007C346C"/>
    <w:rsid w:val="007D63E3"/>
    <w:rsid w:val="007E1218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76496"/>
    <w:rsid w:val="00892CA4"/>
    <w:rsid w:val="00896459"/>
    <w:rsid w:val="008A08F3"/>
    <w:rsid w:val="008A356F"/>
    <w:rsid w:val="008A3ECA"/>
    <w:rsid w:val="008A4653"/>
    <w:rsid w:val="008A4717"/>
    <w:rsid w:val="008A50CC"/>
    <w:rsid w:val="008A5BC8"/>
    <w:rsid w:val="008D1694"/>
    <w:rsid w:val="008D2C08"/>
    <w:rsid w:val="008D79CB"/>
    <w:rsid w:val="008E28CC"/>
    <w:rsid w:val="008F07BC"/>
    <w:rsid w:val="008F72F0"/>
    <w:rsid w:val="00904066"/>
    <w:rsid w:val="009206BC"/>
    <w:rsid w:val="0092692B"/>
    <w:rsid w:val="00941CC9"/>
    <w:rsid w:val="00943E9C"/>
    <w:rsid w:val="00953F4D"/>
    <w:rsid w:val="00960BB8"/>
    <w:rsid w:val="00964F5C"/>
    <w:rsid w:val="00973B57"/>
    <w:rsid w:val="009831C0"/>
    <w:rsid w:val="009849FE"/>
    <w:rsid w:val="009874F9"/>
    <w:rsid w:val="0099161D"/>
    <w:rsid w:val="009A4C45"/>
    <w:rsid w:val="009A6E36"/>
    <w:rsid w:val="009B663D"/>
    <w:rsid w:val="009C5F41"/>
    <w:rsid w:val="009E1DE8"/>
    <w:rsid w:val="009F6490"/>
    <w:rsid w:val="00A01B17"/>
    <w:rsid w:val="00A0389B"/>
    <w:rsid w:val="00A26017"/>
    <w:rsid w:val="00A37E08"/>
    <w:rsid w:val="00A446C9"/>
    <w:rsid w:val="00A5111B"/>
    <w:rsid w:val="00A56C33"/>
    <w:rsid w:val="00A635D6"/>
    <w:rsid w:val="00A72757"/>
    <w:rsid w:val="00A800A9"/>
    <w:rsid w:val="00A8553A"/>
    <w:rsid w:val="00A91959"/>
    <w:rsid w:val="00A93AED"/>
    <w:rsid w:val="00AB524B"/>
    <w:rsid w:val="00AE1319"/>
    <w:rsid w:val="00AE34BB"/>
    <w:rsid w:val="00AF1D90"/>
    <w:rsid w:val="00B0084A"/>
    <w:rsid w:val="00B0520E"/>
    <w:rsid w:val="00B226F2"/>
    <w:rsid w:val="00B22EEA"/>
    <w:rsid w:val="00B274DF"/>
    <w:rsid w:val="00B32B2D"/>
    <w:rsid w:val="00B351F6"/>
    <w:rsid w:val="00B41081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01E6"/>
    <w:rsid w:val="00BB2B9F"/>
    <w:rsid w:val="00BB7D9E"/>
    <w:rsid w:val="00BC2334"/>
    <w:rsid w:val="00BC526F"/>
    <w:rsid w:val="00BD3CB8"/>
    <w:rsid w:val="00BD4E6F"/>
    <w:rsid w:val="00BE700D"/>
    <w:rsid w:val="00BF32F0"/>
    <w:rsid w:val="00BF4DCE"/>
    <w:rsid w:val="00C02DDD"/>
    <w:rsid w:val="00C05CE5"/>
    <w:rsid w:val="00C1009E"/>
    <w:rsid w:val="00C44ABA"/>
    <w:rsid w:val="00C52A4D"/>
    <w:rsid w:val="00C6171E"/>
    <w:rsid w:val="00C865DF"/>
    <w:rsid w:val="00C91039"/>
    <w:rsid w:val="00CA6F2C"/>
    <w:rsid w:val="00CB0558"/>
    <w:rsid w:val="00CC0CD8"/>
    <w:rsid w:val="00CC79CE"/>
    <w:rsid w:val="00CE15F5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64457"/>
    <w:rsid w:val="00D81801"/>
    <w:rsid w:val="00D92B45"/>
    <w:rsid w:val="00D95962"/>
    <w:rsid w:val="00DB3562"/>
    <w:rsid w:val="00DC389B"/>
    <w:rsid w:val="00DD78A5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83EB7"/>
    <w:rsid w:val="00E846CD"/>
    <w:rsid w:val="00E912A6"/>
    <w:rsid w:val="00EA4844"/>
    <w:rsid w:val="00EA4D9C"/>
    <w:rsid w:val="00EA5A97"/>
    <w:rsid w:val="00EA62F1"/>
    <w:rsid w:val="00EB75EE"/>
    <w:rsid w:val="00EE3AF1"/>
    <w:rsid w:val="00EE4C1D"/>
    <w:rsid w:val="00EF3685"/>
    <w:rsid w:val="00F04350"/>
    <w:rsid w:val="00F133DB"/>
    <w:rsid w:val="00F159EB"/>
    <w:rsid w:val="00F25BF4"/>
    <w:rsid w:val="00F267DB"/>
    <w:rsid w:val="00F44F9A"/>
    <w:rsid w:val="00F46F6F"/>
    <w:rsid w:val="00F60608"/>
    <w:rsid w:val="00F62217"/>
    <w:rsid w:val="00F64E5C"/>
    <w:rsid w:val="00F71ACC"/>
    <w:rsid w:val="00F840C1"/>
    <w:rsid w:val="00F87BAF"/>
    <w:rsid w:val="00F9731A"/>
    <w:rsid w:val="00FB17A9"/>
    <w:rsid w:val="00FB527C"/>
    <w:rsid w:val="00FB6F75"/>
    <w:rsid w:val="00FC0EB3"/>
    <w:rsid w:val="00FD675E"/>
    <w:rsid w:val="00FE1421"/>
    <w:rsid w:val="00FE4E10"/>
    <w:rsid w:val="00FE5674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8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eastAsiaTheme="majorEastAsia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eastAsiaTheme="majorEastAsia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eastAsiaTheme="majorEastAsia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eastAsiaTheme="majorEastAsia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20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20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3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5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1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2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20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0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D72FD-AC8F-4774-9B13-D374B872F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56</cp:revision>
  <dcterms:created xsi:type="dcterms:W3CDTF">2025-01-13T10:52:00Z</dcterms:created>
  <dcterms:modified xsi:type="dcterms:W3CDTF">2025-01-14T15:02:00Z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